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E15" w:rsidRDefault="00B97E15" w:rsidP="00B97E15">
      <w:pPr>
        <w:rPr>
          <w:rFonts w:ascii="仿宋_GB2312" w:eastAsia="仿宋_GB2312" w:hAnsi="仿宋_GB2312" w:cs="仿宋_GB2312" w:hint="eastAsia"/>
          <w:sz w:val="30"/>
          <w:szCs w:val="30"/>
        </w:rPr>
      </w:pPr>
    </w:p>
    <w:p w:rsidR="00B97E15" w:rsidRDefault="00B97E15" w:rsidP="00B97E15">
      <w:pPr>
        <w:rPr>
          <w:rFonts w:ascii="仿宋_GB2312" w:eastAsia="仿宋_GB2312" w:hAnsi="仿宋_GB2312" w:cs="仿宋_GB2312" w:hint="eastAsia"/>
          <w:sz w:val="30"/>
          <w:szCs w:val="30"/>
        </w:rPr>
      </w:pPr>
    </w:p>
    <w:p w:rsidR="00B97E15" w:rsidRDefault="00B97E15" w:rsidP="00B97E15">
      <w:pPr>
        <w:jc w:val="center"/>
        <w:rPr>
          <w:rFonts w:ascii="黑体" w:eastAsia="黑体" w:hAnsi="黑体" w:cs="黑体" w:hint="eastAsia"/>
          <w:b/>
          <w:sz w:val="72"/>
          <w:szCs w:val="72"/>
        </w:rPr>
      </w:pPr>
      <w:r w:rsidRPr="007F240D">
        <w:rPr>
          <w:rFonts w:ascii="黑体" w:eastAsia="黑体" w:hAnsi="黑体" w:cs="黑体" w:hint="eastAsia"/>
          <w:b/>
          <w:sz w:val="72"/>
          <w:szCs w:val="72"/>
        </w:rPr>
        <w:t>数控技术应用专业</w:t>
      </w:r>
    </w:p>
    <w:p w:rsidR="00B97E15" w:rsidRPr="007F240D" w:rsidRDefault="00B97E15" w:rsidP="00B97E15">
      <w:pPr>
        <w:jc w:val="center"/>
        <w:rPr>
          <w:rFonts w:ascii="仿宋_GB2312" w:eastAsia="仿宋_GB2312" w:hAnsi="仿宋_GB2312" w:cs="仿宋_GB2312" w:hint="eastAsia"/>
          <w:sz w:val="30"/>
          <w:szCs w:val="30"/>
        </w:rPr>
      </w:pPr>
      <w:r w:rsidRPr="007F240D">
        <w:rPr>
          <w:rFonts w:ascii="黑体" w:eastAsia="黑体" w:hAnsi="黑体" w:cs="黑体" w:hint="eastAsia"/>
          <w:b/>
          <w:sz w:val="72"/>
          <w:szCs w:val="72"/>
        </w:rPr>
        <w:t>建设与改革实施方案</w:t>
      </w:r>
    </w:p>
    <w:p w:rsidR="00B97E15" w:rsidRDefault="00B97E15" w:rsidP="00B97E15">
      <w:pPr>
        <w:jc w:val="center"/>
        <w:rPr>
          <w:rFonts w:ascii="仿宋_GB2312" w:eastAsia="仿宋_GB2312" w:hAnsi="仿宋_GB2312" w:cs="仿宋_GB2312" w:hint="eastAsia"/>
          <w:sz w:val="30"/>
          <w:szCs w:val="30"/>
        </w:rPr>
      </w:pPr>
    </w:p>
    <w:p w:rsidR="00B97E15" w:rsidRDefault="00B97E15" w:rsidP="00B97E15">
      <w:pPr>
        <w:jc w:val="center"/>
        <w:rPr>
          <w:rFonts w:ascii="仿宋_GB2312" w:eastAsia="仿宋_GB2312" w:hAnsi="仿宋_GB2312" w:cs="仿宋_GB2312" w:hint="eastAsia"/>
          <w:sz w:val="30"/>
          <w:szCs w:val="30"/>
        </w:rPr>
      </w:pPr>
    </w:p>
    <w:p w:rsidR="00B97E15" w:rsidRDefault="00B97E15" w:rsidP="00B97E15">
      <w:pPr>
        <w:jc w:val="center"/>
        <w:rPr>
          <w:rFonts w:ascii="仿宋_GB2312" w:eastAsia="仿宋_GB2312" w:hAnsi="仿宋_GB2312" w:cs="仿宋_GB2312" w:hint="eastAsia"/>
          <w:sz w:val="30"/>
          <w:szCs w:val="30"/>
        </w:rPr>
      </w:pPr>
    </w:p>
    <w:p w:rsidR="00B97E15" w:rsidRDefault="00B97E15" w:rsidP="00B97E15">
      <w:pPr>
        <w:jc w:val="center"/>
        <w:rPr>
          <w:rFonts w:ascii="仿宋_GB2312" w:eastAsia="仿宋_GB2312" w:hAnsi="仿宋_GB2312" w:cs="仿宋_GB2312" w:hint="eastAsia"/>
          <w:sz w:val="30"/>
          <w:szCs w:val="30"/>
        </w:rPr>
      </w:pPr>
    </w:p>
    <w:p w:rsidR="00B97E15" w:rsidRDefault="00B97E15" w:rsidP="00B97E15">
      <w:pPr>
        <w:jc w:val="center"/>
        <w:rPr>
          <w:rFonts w:ascii="仿宋_GB2312" w:eastAsia="仿宋_GB2312" w:hAnsi="仿宋_GB2312" w:cs="仿宋_GB2312" w:hint="eastAsia"/>
          <w:sz w:val="30"/>
          <w:szCs w:val="30"/>
        </w:rPr>
      </w:pPr>
    </w:p>
    <w:p w:rsidR="00B97E15" w:rsidRDefault="00B97E15" w:rsidP="00B97E15">
      <w:pPr>
        <w:jc w:val="center"/>
        <w:rPr>
          <w:rFonts w:ascii="仿宋_GB2312" w:eastAsia="仿宋_GB2312" w:hAnsi="仿宋_GB2312" w:cs="仿宋_GB2312" w:hint="eastAsia"/>
          <w:sz w:val="30"/>
          <w:szCs w:val="30"/>
        </w:rPr>
      </w:pPr>
    </w:p>
    <w:p w:rsidR="00B97E15" w:rsidRDefault="00B97E15" w:rsidP="00B97E15">
      <w:pPr>
        <w:jc w:val="center"/>
        <w:rPr>
          <w:rFonts w:ascii="仿宋_GB2312" w:eastAsia="仿宋_GB2312" w:hAnsi="仿宋_GB2312" w:cs="仿宋_GB2312" w:hint="eastAsia"/>
          <w:sz w:val="30"/>
          <w:szCs w:val="30"/>
        </w:rPr>
      </w:pPr>
    </w:p>
    <w:p w:rsidR="00B97E15" w:rsidRDefault="00B97E15" w:rsidP="00B97E15">
      <w:pPr>
        <w:jc w:val="center"/>
        <w:rPr>
          <w:rFonts w:ascii="仿宋_GB2312" w:eastAsia="仿宋_GB2312" w:hAnsi="仿宋_GB2312" w:cs="仿宋_GB2312" w:hint="eastAsia"/>
          <w:sz w:val="30"/>
          <w:szCs w:val="30"/>
        </w:rPr>
      </w:pPr>
    </w:p>
    <w:p w:rsidR="00B97E15" w:rsidRDefault="00B97E15" w:rsidP="00B97E15">
      <w:pPr>
        <w:jc w:val="center"/>
        <w:rPr>
          <w:rFonts w:ascii="仿宋_GB2312" w:eastAsia="仿宋_GB2312" w:hAnsi="仿宋_GB2312" w:cs="仿宋_GB2312" w:hint="eastAsia"/>
          <w:sz w:val="30"/>
          <w:szCs w:val="30"/>
        </w:rPr>
      </w:pPr>
    </w:p>
    <w:p w:rsidR="00B97E15" w:rsidRDefault="00B97E15" w:rsidP="00B97E15">
      <w:pPr>
        <w:jc w:val="center"/>
        <w:rPr>
          <w:rFonts w:ascii="仿宋_GB2312" w:eastAsia="仿宋_GB2312" w:hAnsi="仿宋_GB2312" w:cs="仿宋_GB2312" w:hint="eastAsia"/>
          <w:sz w:val="30"/>
          <w:szCs w:val="30"/>
        </w:rPr>
      </w:pPr>
    </w:p>
    <w:p w:rsidR="00B97E15" w:rsidRDefault="00B97E15" w:rsidP="00B97E15">
      <w:pPr>
        <w:jc w:val="center"/>
        <w:rPr>
          <w:rFonts w:ascii="仿宋_GB2312" w:eastAsia="仿宋_GB2312" w:hAnsi="仿宋_GB2312" w:cs="仿宋_GB2312" w:hint="eastAsia"/>
          <w:sz w:val="30"/>
          <w:szCs w:val="30"/>
        </w:rPr>
      </w:pPr>
    </w:p>
    <w:p w:rsidR="00B97E15" w:rsidRDefault="00B97E15" w:rsidP="00B97E15">
      <w:pPr>
        <w:jc w:val="center"/>
        <w:rPr>
          <w:rFonts w:ascii="仿宋_GB2312" w:eastAsia="仿宋_GB2312" w:hAnsi="仿宋_GB2312" w:cs="仿宋_GB2312" w:hint="eastAsia"/>
          <w:sz w:val="30"/>
          <w:szCs w:val="30"/>
        </w:rPr>
      </w:pPr>
    </w:p>
    <w:p w:rsidR="00B97E15" w:rsidRDefault="00B97E15" w:rsidP="00B97E15">
      <w:pPr>
        <w:jc w:val="center"/>
        <w:rPr>
          <w:rFonts w:ascii="仿宋_GB2312" w:eastAsia="仿宋_GB2312" w:hAnsi="仿宋_GB2312" w:cs="仿宋_GB2312" w:hint="eastAsia"/>
          <w:sz w:val="30"/>
          <w:szCs w:val="30"/>
        </w:rPr>
      </w:pPr>
    </w:p>
    <w:p w:rsidR="00B97E15" w:rsidRDefault="00B97E15" w:rsidP="00B97E15">
      <w:pPr>
        <w:jc w:val="center"/>
        <w:rPr>
          <w:rFonts w:ascii="仿宋_GB2312" w:eastAsia="仿宋_GB2312" w:hAnsi="仿宋_GB2312" w:cs="仿宋_GB2312" w:hint="eastAsia"/>
          <w:sz w:val="30"/>
          <w:szCs w:val="30"/>
        </w:rPr>
      </w:pPr>
    </w:p>
    <w:p w:rsidR="00B97E15" w:rsidRDefault="00B97E15" w:rsidP="00B97E15">
      <w:pPr>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河南省工业学校</w:t>
      </w:r>
    </w:p>
    <w:p w:rsidR="00B97E15" w:rsidRDefault="00B97E15" w:rsidP="00B97E15">
      <w:pPr>
        <w:jc w:val="center"/>
        <w:rPr>
          <w:rFonts w:ascii="仿宋_GB2312" w:eastAsia="仿宋_GB2312" w:hAnsi="仿宋_GB2312" w:cs="仿宋_GB2312"/>
          <w:sz w:val="30"/>
          <w:szCs w:val="30"/>
        </w:rPr>
      </w:pPr>
    </w:p>
    <w:p w:rsidR="00B97E15" w:rsidRDefault="00B97E15" w:rsidP="00B97E15">
      <w:pPr>
        <w:jc w:val="center"/>
        <w:rPr>
          <w:rFonts w:ascii="仿宋_GB2312" w:eastAsia="仿宋_GB2312" w:hAnsi="仿宋_GB2312" w:cs="仿宋_GB2312"/>
          <w:sz w:val="30"/>
          <w:szCs w:val="30"/>
        </w:rPr>
      </w:pPr>
    </w:p>
    <w:p w:rsidR="00074DA9" w:rsidRDefault="00074DA9" w:rsidP="003B4B28">
      <w:pPr>
        <w:pStyle w:val="a3"/>
        <w:spacing w:line="360" w:lineRule="auto"/>
        <w:ind w:firstLine="482"/>
        <w:jc w:val="center"/>
        <w:rPr>
          <w:rFonts w:ascii="Verdana" w:hAnsi="Verdana"/>
          <w:b/>
          <w:sz w:val="30"/>
          <w:szCs w:val="30"/>
        </w:rPr>
      </w:pPr>
      <w:r w:rsidRPr="00074DA9">
        <w:rPr>
          <w:rFonts w:ascii="Verdana" w:hAnsi="Verdana" w:hint="eastAsia"/>
          <w:b/>
          <w:sz w:val="30"/>
          <w:szCs w:val="30"/>
        </w:rPr>
        <w:lastRenderedPageBreak/>
        <w:t>数控技术应用专业建设与改革实施方案</w:t>
      </w:r>
    </w:p>
    <w:p w:rsidR="00074DA9" w:rsidRDefault="00074DA9" w:rsidP="00074DA9">
      <w:pPr>
        <w:pStyle w:val="a3"/>
        <w:spacing w:line="450" w:lineRule="atLeast"/>
        <w:ind w:firstLine="480"/>
        <w:rPr>
          <w:rFonts w:ascii="Verdana" w:hAnsi="Verdana"/>
        </w:rPr>
      </w:pPr>
      <w:r>
        <w:rPr>
          <w:rFonts w:ascii="Verdana" w:hAnsi="Verdana"/>
        </w:rPr>
        <w:t>一、本专业教学改革的指导思想</w:t>
      </w:r>
      <w:bookmarkStart w:id="0" w:name="_GoBack"/>
      <w:bookmarkEnd w:id="0"/>
    </w:p>
    <w:p w:rsidR="00074DA9" w:rsidRPr="00074DA9" w:rsidRDefault="00074DA9" w:rsidP="00074DA9">
      <w:pPr>
        <w:pStyle w:val="a3"/>
        <w:spacing w:line="450" w:lineRule="atLeast"/>
        <w:ind w:firstLine="480"/>
        <w:rPr>
          <w:rFonts w:ascii="Verdana" w:hAnsi="Verdana"/>
        </w:rPr>
      </w:pPr>
      <w:r>
        <w:rPr>
          <w:rFonts w:ascii="Verdana" w:hAnsi="Verdana"/>
        </w:rPr>
        <w:t>全面贯彻党的教育方针和教育部制订的有关</w:t>
      </w:r>
      <w:r>
        <w:rPr>
          <w:rFonts w:ascii="Verdana" w:hAnsi="Verdana" w:hint="eastAsia"/>
        </w:rPr>
        <w:t>中</w:t>
      </w:r>
      <w:r>
        <w:rPr>
          <w:rFonts w:ascii="Verdana" w:hAnsi="Verdana"/>
        </w:rPr>
        <w:t>等职业技术教育的文件精神，遵循高等职业技术教育规律和人才市场规律，以新时期的人才观、质量观、教学观来指导本专业的教学改革。在专业教学改革中重点体现创新能力、创业能力和技术应用能力的培养，体现人文精神和科学精神的结合，增强就业竞争能力和职业变换的自适应能力，增强自学能力和可持续发展能力，使学生</w:t>
      </w:r>
      <w:r>
        <w:rPr>
          <w:rFonts w:ascii="Verdana" w:hAnsi="Verdana" w:hint="eastAsia"/>
        </w:rPr>
        <w:t>在</w:t>
      </w:r>
      <w:r>
        <w:rPr>
          <w:rFonts w:ascii="Verdana" w:hAnsi="Verdana"/>
        </w:rPr>
        <w:t>“</w:t>
      </w:r>
      <w:r>
        <w:rPr>
          <w:rFonts w:ascii="Verdana" w:hAnsi="Verdana" w:hint="eastAsia"/>
        </w:rPr>
        <w:t>做中学、学中做，教、学、做一体化</w:t>
      </w:r>
      <w:r>
        <w:rPr>
          <w:rFonts w:ascii="Verdana" w:hAnsi="Verdana"/>
        </w:rPr>
        <w:t>”</w:t>
      </w:r>
      <w:r>
        <w:rPr>
          <w:rFonts w:ascii="Verdana" w:hAnsi="Verdana" w:hint="eastAsia"/>
        </w:rPr>
        <w:t>指导方针下提中职业能力</w:t>
      </w:r>
      <w:r>
        <w:rPr>
          <w:rFonts w:ascii="Verdana" w:hAnsi="Verdana"/>
        </w:rPr>
        <w:t>。培养出符合</w:t>
      </w:r>
      <w:r>
        <w:rPr>
          <w:rFonts w:ascii="Verdana" w:hAnsi="Verdana"/>
        </w:rPr>
        <w:t>21</w:t>
      </w:r>
      <w:r>
        <w:rPr>
          <w:rFonts w:ascii="Verdana" w:hAnsi="Verdana"/>
        </w:rPr>
        <w:t>世纪发展新需要的、具备较强创新实践能力的、服务于生产第一线的</w:t>
      </w:r>
      <w:r>
        <w:rPr>
          <w:rFonts w:ascii="Verdana" w:hAnsi="Verdana"/>
        </w:rPr>
        <w:t>“</w:t>
      </w:r>
      <w:r>
        <w:rPr>
          <w:rFonts w:ascii="Verdana" w:hAnsi="Verdana"/>
        </w:rPr>
        <w:t>会用、能用、管用</w:t>
      </w:r>
      <w:r>
        <w:rPr>
          <w:rFonts w:ascii="Verdana" w:hAnsi="Verdana"/>
        </w:rPr>
        <w:t>”</w:t>
      </w:r>
      <w:r>
        <w:rPr>
          <w:rFonts w:ascii="Verdana" w:hAnsi="Verdana"/>
        </w:rPr>
        <w:t>的高等技术应用性、复合型人才（即会用：从人才自身的角度出发，应具有必备的知识和较强的能力；能用：从企业对人才的要求出发，能为企业所用；管用：从社会对人才的评价出发，能解决实际问题，创造价值）。</w:t>
      </w:r>
      <w:r>
        <w:rPr>
          <w:rFonts w:ascii="Verdana" w:hAnsi="Verdana"/>
        </w:rPr>
        <w:br/>
      </w:r>
      <w:r>
        <w:rPr>
          <w:rFonts w:ascii="Verdana" w:hAnsi="Verdana"/>
        </w:rPr>
        <w:t>二、本专业教学改革的目标</w:t>
      </w:r>
      <w:r>
        <w:rPr>
          <w:rFonts w:ascii="Verdana" w:hAnsi="Verdana"/>
        </w:rPr>
        <w:br/>
        <w:t>1</w:t>
      </w:r>
      <w:r>
        <w:rPr>
          <w:rFonts w:ascii="Verdana" w:hAnsi="Verdana"/>
        </w:rPr>
        <w:t>、改革教育观念。改革陈旧的教育思想和教育观念，建立</w:t>
      </w:r>
      <w:r>
        <w:rPr>
          <w:rFonts w:ascii="Verdana" w:hAnsi="Verdana"/>
        </w:rPr>
        <w:t>21</w:t>
      </w:r>
      <w:r>
        <w:rPr>
          <w:rFonts w:ascii="Verdana" w:hAnsi="Verdana"/>
        </w:rPr>
        <w:t>世纪需要的、符合中职教育规律的、科学的、先进的人才观、质量观、教学观。实现由应试教育向素质教育，由计划体制向市场需求，由重学科体系教育向突出能力培养的观念转变。</w:t>
      </w:r>
      <w:r>
        <w:rPr>
          <w:rFonts w:ascii="Verdana" w:hAnsi="Verdana"/>
        </w:rPr>
        <w:br/>
        <w:t>2</w:t>
      </w:r>
      <w:r>
        <w:rPr>
          <w:rFonts w:ascii="Verdana" w:hAnsi="Verdana"/>
        </w:rPr>
        <w:t>、改革培养模式与人才培养途径。改革现行脱离经济社会发展需要的和人的自身发展需要的、单一的人才培养模式，建立主动适应数控加工行业需要，有利于全面推进素质教育，有利于人的全面发展和可持续发展，体现中职教育基本特征，特色鲜明的人才培养模式。同时还要深入研究职业技术教育的基本规律，摒弃以学科为中心的思想，树立以能力为本位的观念，加强技术应用能力，尤其要注重创新能力、实践能力、关键能力和基本素质的培养。利用我系</w:t>
      </w:r>
      <w:r>
        <w:rPr>
          <w:rFonts w:ascii="Verdana" w:hAnsi="Verdana"/>
        </w:rPr>
        <w:t>“</w:t>
      </w:r>
      <w:r>
        <w:rPr>
          <w:rFonts w:ascii="Verdana" w:hAnsi="Verdana"/>
        </w:rPr>
        <w:t>数控加工中心</w:t>
      </w:r>
      <w:r>
        <w:rPr>
          <w:rFonts w:ascii="Verdana" w:hAnsi="Verdana"/>
        </w:rPr>
        <w:t>”</w:t>
      </w:r>
      <w:r>
        <w:rPr>
          <w:rFonts w:ascii="Verdana" w:hAnsi="Verdana"/>
        </w:rPr>
        <w:t>的技术优势，走学产研结合、校企合作的人才培养之路，建立校内、校外实训实习基地，让学生在理论教学与实践教学之间同步或交替训练，真正实现知识向能力的转化，达到培养技术应用型人才的要求。</w:t>
      </w:r>
      <w:r>
        <w:rPr>
          <w:rFonts w:ascii="Verdana" w:hAnsi="Verdana"/>
        </w:rPr>
        <w:br/>
        <w:t>3</w:t>
      </w:r>
      <w:r>
        <w:rPr>
          <w:rFonts w:ascii="Verdana" w:hAnsi="Verdana"/>
        </w:rPr>
        <w:t>、改革教学内容。改革现行理论脱离实际的课程和陈旧的教学内容，根据专业培养目标重组和建立有利于培养学生独立分析问题解决问题的能力，有利于培养学生创新思维、创新能力和专业技术应用能力的教学内容和课程体系，重建理论</w:t>
      </w:r>
      <w:r>
        <w:rPr>
          <w:rFonts w:ascii="Verdana" w:hAnsi="Verdana"/>
        </w:rPr>
        <w:lastRenderedPageBreak/>
        <w:t>和实践教学体系。</w:t>
      </w:r>
      <w:r>
        <w:rPr>
          <w:rFonts w:ascii="Verdana" w:hAnsi="Verdana"/>
        </w:rPr>
        <w:br/>
        <w:t>4</w:t>
      </w:r>
      <w:r>
        <w:rPr>
          <w:rFonts w:ascii="Verdana" w:hAnsi="Verdana"/>
        </w:rPr>
        <w:t>、改革教学模式与教学方法。改革过去单一的以教师为中心的教学模式，构建以学生为中心的教学模式，采用启发式、讨论式、自学为主、老师辅导、多媒体课件教学、实践教学以及</w:t>
      </w:r>
      <w:r>
        <w:rPr>
          <w:rFonts w:ascii="Verdana" w:hAnsi="Verdana"/>
        </w:rPr>
        <w:t>“</w:t>
      </w:r>
      <w:r>
        <w:rPr>
          <w:rFonts w:ascii="Verdana" w:hAnsi="Verdana"/>
        </w:rPr>
        <w:t>主题式</w:t>
      </w:r>
      <w:r>
        <w:rPr>
          <w:rFonts w:ascii="Verdana" w:hAnsi="Verdana"/>
        </w:rPr>
        <w:t>”</w:t>
      </w:r>
      <w:r>
        <w:rPr>
          <w:rFonts w:ascii="Verdana" w:hAnsi="Verdana"/>
        </w:rPr>
        <w:t>、</w:t>
      </w:r>
      <w:r>
        <w:rPr>
          <w:rFonts w:ascii="Verdana" w:hAnsi="Verdana"/>
        </w:rPr>
        <w:t>“</w:t>
      </w:r>
      <w:r>
        <w:rPr>
          <w:rFonts w:ascii="Verdana" w:hAnsi="Verdana"/>
        </w:rPr>
        <w:t>任务式</w:t>
      </w:r>
      <w:r>
        <w:rPr>
          <w:rFonts w:ascii="Verdana" w:hAnsi="Verdana"/>
        </w:rPr>
        <w:t>”</w:t>
      </w:r>
      <w:r>
        <w:rPr>
          <w:rFonts w:ascii="Verdana" w:hAnsi="Verdana"/>
        </w:rPr>
        <w:t>教学等灵活多样适合中职教育的教学模式。改革现行重理论轻实践的教学方法，探索建立有利于培养基本实践能力与操作技能、专业技术应用能力与专业技能、综合实践能力与综合技能有机结合的实践教学方法。</w:t>
      </w:r>
      <w:r>
        <w:rPr>
          <w:rFonts w:ascii="Verdana" w:hAnsi="Verdana"/>
        </w:rPr>
        <w:br/>
        <w:t>5</w:t>
      </w:r>
      <w:r>
        <w:rPr>
          <w:rFonts w:ascii="Verdana" w:hAnsi="Verdana"/>
        </w:rPr>
        <w:t>、改革考核、评估体系。改革以知识继承为主的、只注重书本理论内容、单一的课堂考核体系，建立新的、开放式的教学质量考核评估体系。既考理论，又考实践，探索多种方法、多种途径的考核模式（包括设计、答辩、讨论、调研、创新制作等），达到理论与实践相结合，继承与创新相结合，特别要注重实际动手能力、创新能力和工程实践能力的考核，实行</w:t>
      </w:r>
      <w:r>
        <w:rPr>
          <w:rFonts w:ascii="Verdana" w:hAnsi="Verdana"/>
        </w:rPr>
        <w:t>“</w:t>
      </w:r>
      <w:r>
        <w:rPr>
          <w:rFonts w:ascii="Verdana" w:hAnsi="Verdana"/>
        </w:rPr>
        <w:t>双证书</w:t>
      </w:r>
      <w:r>
        <w:rPr>
          <w:rFonts w:ascii="Verdana" w:hAnsi="Verdana"/>
        </w:rPr>
        <w:t>”</w:t>
      </w:r>
      <w:r>
        <w:rPr>
          <w:rFonts w:ascii="Verdana" w:hAnsi="Verdana"/>
        </w:rPr>
        <w:t>制度，把职业技能鉴定思路引入教学质量考核、评估体系。</w:t>
      </w:r>
      <w:r>
        <w:rPr>
          <w:rFonts w:ascii="Verdana" w:hAnsi="Verdana"/>
        </w:rPr>
        <w:br/>
        <w:t>6</w:t>
      </w:r>
      <w:r>
        <w:rPr>
          <w:rFonts w:ascii="Verdana" w:hAnsi="Verdana"/>
        </w:rPr>
        <w:t>、改革教材建设模式。改革过去那种建设周期长，品种单一，不能很好适应形势发展及地区特点的教材模式，建立既有全国规划教材，又有适合兄弟院校合编教材、本地区特色教材和自行开发的各种培训教材、讲义，具有规范、灵活、多样，符合中职教育要求的教材建设模式。</w:t>
      </w:r>
      <w:r>
        <w:rPr>
          <w:rFonts w:ascii="Verdana" w:hAnsi="Verdana"/>
        </w:rPr>
        <w:br/>
        <w:t>7</w:t>
      </w:r>
      <w:r>
        <w:rPr>
          <w:rFonts w:ascii="Verdana" w:hAnsi="Verdana"/>
        </w:rPr>
        <w:t>、改革师资队伍。改革教师队伍理论知识较强、实践知识相对较弱的知识结构与能力不协调的现状，积极支持教师深造，参加培训，创造条件让教师主动工程实践。建设一支适应中职教育特点的、结构合理的、高素质高水平的</w:t>
      </w:r>
      <w:r>
        <w:rPr>
          <w:rFonts w:ascii="Verdana" w:hAnsi="Verdana"/>
        </w:rPr>
        <w:t>“</w:t>
      </w:r>
      <w:r>
        <w:rPr>
          <w:rFonts w:ascii="Verdana" w:hAnsi="Verdana"/>
        </w:rPr>
        <w:t>双师型</w:t>
      </w:r>
      <w:r>
        <w:rPr>
          <w:rFonts w:ascii="Verdana" w:hAnsi="Verdana"/>
        </w:rPr>
        <w:t>”</w:t>
      </w:r>
      <w:r>
        <w:rPr>
          <w:rFonts w:ascii="Verdana" w:hAnsi="Verdana"/>
        </w:rPr>
        <w:t>师资队伍。</w:t>
      </w:r>
      <w:r>
        <w:rPr>
          <w:rFonts w:ascii="Verdana" w:hAnsi="Verdana"/>
        </w:rPr>
        <w:br/>
      </w:r>
      <w:r>
        <w:rPr>
          <w:rFonts w:ascii="Verdana" w:hAnsi="Verdana"/>
        </w:rPr>
        <w:t>通过以上改革，构建主动适应</w:t>
      </w:r>
      <w:r>
        <w:rPr>
          <w:rFonts w:ascii="Verdana" w:hAnsi="Verdana"/>
        </w:rPr>
        <w:t>21</w:t>
      </w:r>
      <w:r>
        <w:rPr>
          <w:rFonts w:ascii="Verdana" w:hAnsi="Verdana"/>
        </w:rPr>
        <w:t>世纪需要的、体现本专业特点、科学实用、能有效地提高教学质量、实现培养目标的人才培养模式和培养方案。要建立明确的质量评估方法和评估体系，做好与培养模式配套的师资队伍建设、实验实训室和实践教学基地的建设、教材及课程建设、专业建设等多方面的工作。通过</w:t>
      </w:r>
      <w:r>
        <w:rPr>
          <w:rFonts w:ascii="Verdana" w:hAnsi="Verdana"/>
        </w:rPr>
        <w:t>3</w:t>
      </w:r>
      <w:r>
        <w:rPr>
          <w:rFonts w:ascii="Verdana" w:hAnsi="Verdana"/>
        </w:rPr>
        <w:t>～</w:t>
      </w:r>
      <w:r>
        <w:rPr>
          <w:rFonts w:ascii="Verdana" w:hAnsi="Verdana"/>
        </w:rPr>
        <w:t>5</w:t>
      </w:r>
      <w:r>
        <w:rPr>
          <w:rFonts w:ascii="Verdana" w:hAnsi="Verdana"/>
        </w:rPr>
        <w:t>年的努力，把本专业办成全国高等职业教育的示范性专业，并以此带动全院的专业建设。</w:t>
      </w:r>
      <w:r>
        <w:rPr>
          <w:rFonts w:ascii="Verdana" w:hAnsi="Verdana"/>
        </w:rPr>
        <w:br/>
      </w:r>
      <w:r>
        <w:rPr>
          <w:rFonts w:ascii="Verdana" w:hAnsi="Verdana"/>
        </w:rPr>
        <w:t>三、本专业的人才培养模式</w:t>
      </w:r>
      <w:r>
        <w:rPr>
          <w:rFonts w:ascii="Verdana" w:hAnsi="Verdana"/>
        </w:rPr>
        <w:br/>
      </w:r>
      <w:r>
        <w:rPr>
          <w:rFonts w:ascii="Verdana" w:hAnsi="Verdana" w:hint="eastAsia"/>
        </w:rPr>
        <w:t xml:space="preserve">    </w:t>
      </w:r>
      <w:r>
        <w:rPr>
          <w:rFonts w:ascii="Verdana" w:hAnsi="Verdana"/>
        </w:rPr>
        <w:t>构建以培养数控加工技术应用能力为主线，突出岗位能力培养，做到实践能力的培养不断线，计算机技术应用的学习不断线，英语学习不断线，即</w:t>
      </w:r>
      <w:r>
        <w:rPr>
          <w:rFonts w:ascii="Verdana" w:hAnsi="Verdana"/>
        </w:rPr>
        <w:t>“</w:t>
      </w:r>
      <w:r>
        <w:rPr>
          <w:rFonts w:ascii="Verdana" w:hAnsi="Verdana"/>
        </w:rPr>
        <w:t>一条主线、一个突出、三个不断线</w:t>
      </w:r>
      <w:r>
        <w:rPr>
          <w:rFonts w:ascii="Verdana" w:hAnsi="Verdana"/>
        </w:rPr>
        <w:t>”</w:t>
      </w:r>
      <w:r>
        <w:rPr>
          <w:rFonts w:ascii="Verdana" w:hAnsi="Verdana"/>
        </w:rPr>
        <w:t>的人才培养模式</w:t>
      </w:r>
    </w:p>
    <w:p w:rsidR="00074DA9" w:rsidRDefault="00074DA9" w:rsidP="00074DA9">
      <w:pPr>
        <w:pStyle w:val="a3"/>
        <w:spacing w:line="450" w:lineRule="atLeast"/>
        <w:ind w:firstLine="480"/>
      </w:pPr>
      <w:r>
        <w:rPr>
          <w:rFonts w:ascii="Verdana" w:hAnsi="Verdana"/>
        </w:rPr>
        <w:lastRenderedPageBreak/>
        <w:t>四、具体实施措施</w:t>
      </w:r>
      <w:r>
        <w:rPr>
          <w:rFonts w:ascii="Verdana" w:hAnsi="Verdana"/>
        </w:rPr>
        <w:br/>
      </w:r>
      <w:r>
        <w:rPr>
          <w:rFonts w:ascii="Verdana" w:hAnsi="Verdana"/>
        </w:rPr>
        <w:t>（一）、构建具有中职特色的理论和实践的教学与考核体系。</w:t>
      </w:r>
      <w:r>
        <w:rPr>
          <w:rFonts w:ascii="Verdana" w:hAnsi="Verdana"/>
        </w:rPr>
        <w:br/>
        <w:t>1</w:t>
      </w:r>
      <w:r>
        <w:rPr>
          <w:rFonts w:ascii="Verdana" w:hAnsi="Verdana"/>
        </w:rPr>
        <w:t>、理论教学的改革与实施</w:t>
      </w:r>
      <w:r>
        <w:rPr>
          <w:rFonts w:ascii="Verdana" w:hAnsi="Verdana"/>
        </w:rPr>
        <w:br/>
        <w:t>1</w:t>
      </w:r>
      <w:r>
        <w:rPr>
          <w:rFonts w:ascii="Verdana" w:hAnsi="Verdana"/>
        </w:rPr>
        <w:t>）、改革课程设置，实现课程内容重组。为了实现本专业的培养目标，突出学生实践能力的培养，必需打破传统理论教学体系的</w:t>
      </w:r>
      <w:r>
        <w:rPr>
          <w:rFonts w:ascii="Verdana" w:hAnsi="Verdana"/>
        </w:rPr>
        <w:t>“</w:t>
      </w:r>
      <w:r>
        <w:rPr>
          <w:rFonts w:ascii="Verdana" w:hAnsi="Verdana"/>
        </w:rPr>
        <w:t>三段模式</w:t>
      </w:r>
      <w:r>
        <w:rPr>
          <w:rFonts w:ascii="Verdana" w:hAnsi="Verdana"/>
        </w:rPr>
        <w:t>”</w:t>
      </w:r>
      <w:r>
        <w:rPr>
          <w:rFonts w:ascii="Verdana" w:hAnsi="Verdana"/>
        </w:rPr>
        <w:t>，调整课程设置，对课程内容实现整合与重组。</w:t>
      </w:r>
      <w:r>
        <w:rPr>
          <w:rFonts w:ascii="Verdana" w:hAnsi="Verdana"/>
        </w:rPr>
        <w:br/>
        <w:t>2</w:t>
      </w:r>
      <w:r>
        <w:rPr>
          <w:rFonts w:ascii="Verdana" w:hAnsi="Verdana"/>
        </w:rPr>
        <w:t>）、改革教学方法，实施</w:t>
      </w:r>
      <w:r>
        <w:rPr>
          <w:rFonts w:ascii="Verdana" w:hAnsi="Verdana"/>
        </w:rPr>
        <w:t>“</w:t>
      </w:r>
      <w:r>
        <w:rPr>
          <w:rFonts w:ascii="Verdana" w:hAnsi="Verdana"/>
        </w:rPr>
        <w:t>互动式</w:t>
      </w:r>
      <w:r>
        <w:rPr>
          <w:rFonts w:ascii="Verdana" w:hAnsi="Verdana"/>
        </w:rPr>
        <w:t>”</w:t>
      </w:r>
      <w:r>
        <w:rPr>
          <w:rFonts w:ascii="Verdana" w:hAnsi="Verdana"/>
        </w:rPr>
        <w:t>教学方式。互动式教学，就是教师的主导性与学生的自主性相结合的教学方式。教师课前应围绕课程教学大纲与要求，精选教材，编写教案，收集有针对性的案例，选择课程内容中的主要知识点，建立反映知识点、能力点的问题群。</w:t>
      </w:r>
      <w:r>
        <w:rPr>
          <w:rFonts w:ascii="Verdana" w:hAnsi="Verdana"/>
        </w:rPr>
        <w:br/>
        <w:t>3</w:t>
      </w:r>
      <w:r>
        <w:rPr>
          <w:rFonts w:ascii="Verdana" w:hAnsi="Verdana"/>
        </w:rPr>
        <w:t>）、积极开展现场教学。数控加工技术专业的专业课大多数直接联系各种机器的结构、工作原理、操作方法、安装调试、故障诊断及维修，这些课按传统的教学形式，用传统教学手段，达不真实直观的效果，教师讲不清，学生犯迷糊。在本次教学改革中，要求教师把课程的部分内容教学移到机器现场，实施现场教学。</w:t>
      </w:r>
      <w:r>
        <w:rPr>
          <w:rFonts w:ascii="Verdana" w:hAnsi="Verdana"/>
        </w:rPr>
        <w:br/>
        <w:t>4</w:t>
      </w:r>
      <w:r>
        <w:rPr>
          <w:rFonts w:ascii="Verdana" w:hAnsi="Verdana"/>
        </w:rPr>
        <w:t>）、实施多媒体教学，扩大课堂信息量。在本专业课程教学内容中，较复杂的图形特别多，教师若按传统方式，仍是</w:t>
      </w:r>
      <w:r>
        <w:rPr>
          <w:rFonts w:ascii="Verdana" w:hAnsi="Verdana"/>
        </w:rPr>
        <w:t>“</w:t>
      </w:r>
      <w:r>
        <w:rPr>
          <w:rFonts w:ascii="Verdana" w:hAnsi="Verdana"/>
        </w:rPr>
        <w:t>一支粉笔，一块黑板</w:t>
      </w:r>
      <w:r>
        <w:rPr>
          <w:rFonts w:ascii="Verdana" w:hAnsi="Verdana"/>
        </w:rPr>
        <w:t>”</w:t>
      </w:r>
      <w:r>
        <w:rPr>
          <w:rFonts w:ascii="Verdana" w:hAnsi="Verdana"/>
        </w:rPr>
        <w:t>，则既不能仿真，又无法扩大信息量。由于图形板书浪费不少课堂教学时间，课堂效率较低。本次教改实施要求本专业的主要专业课程（如：机械制图、机械设计基础、机械制造基础、数控原理等），先后都要采用多媒体教学手段，提高课堂教学效率，压缩理论教学时间，用于实践教学，或者学生自我发展，使培养的学生更具有本专业的中职特色。</w:t>
      </w:r>
      <w:r>
        <w:rPr>
          <w:rFonts w:ascii="Verdana" w:hAnsi="Verdana"/>
        </w:rPr>
        <w:br/>
        <w:t>1</w:t>
      </w:r>
      <w:r>
        <w:rPr>
          <w:rFonts w:ascii="Verdana" w:hAnsi="Verdana"/>
        </w:rPr>
        <w:t>、</w:t>
      </w:r>
      <w:r>
        <w:rPr>
          <w:rFonts w:ascii="Verdana" w:hAnsi="Verdana"/>
        </w:rPr>
        <w:t xml:space="preserve"> </w:t>
      </w:r>
      <w:r>
        <w:rPr>
          <w:rFonts w:ascii="Verdana" w:hAnsi="Verdana"/>
        </w:rPr>
        <w:t>实践教学的改革与实施</w:t>
      </w:r>
      <w:r>
        <w:rPr>
          <w:rFonts w:ascii="Verdana" w:hAnsi="Verdana"/>
        </w:rPr>
        <w:br/>
        <w:t>1</w:t>
      </w:r>
      <w:r>
        <w:rPr>
          <w:rFonts w:ascii="Verdana" w:hAnsi="Verdana"/>
        </w:rPr>
        <w:t>）、加强校内外实践教学环节建设，提高实践教学环节的比重和质量。</w:t>
      </w:r>
      <w:r>
        <w:rPr>
          <w:rFonts w:ascii="Verdana" w:hAnsi="Verdana"/>
        </w:rPr>
        <w:br/>
      </w:r>
      <w:r>
        <w:rPr>
          <w:rFonts w:ascii="Verdana" w:hAnsi="Verdana"/>
        </w:rPr>
        <w:t>重视实践教学，构建和强化实践教学体系，以培养学生的基本实践能力与操作技能、专业技术应用能力与专业技能、综合实践能力与综合技能。建立与数控加工技术专业培养目标相适应的、循序渐进的、不完全依赖理论课程的实践教学体系。进一步加强校内实践教学环节的建设，提高实践教学环节的比重和质量，并把职业资格证书的考证制度引入实践教学环节。</w:t>
      </w:r>
      <w:r>
        <w:rPr>
          <w:rFonts w:ascii="Verdana" w:hAnsi="Verdana"/>
        </w:rPr>
        <w:br/>
        <w:t>2</w:t>
      </w:r>
      <w:r>
        <w:rPr>
          <w:rFonts w:ascii="Verdana" w:hAnsi="Verdana"/>
        </w:rPr>
        <w:t>）、改毕业设计为</w:t>
      </w:r>
      <w:r>
        <w:rPr>
          <w:rFonts w:ascii="Verdana" w:hAnsi="Verdana"/>
        </w:rPr>
        <w:t>“</w:t>
      </w:r>
      <w:r>
        <w:rPr>
          <w:rFonts w:ascii="Verdana" w:hAnsi="Verdana"/>
        </w:rPr>
        <w:t>专业工程实践</w:t>
      </w:r>
      <w:r>
        <w:rPr>
          <w:rFonts w:ascii="Verdana" w:hAnsi="Verdana"/>
        </w:rPr>
        <w:t>”</w:t>
      </w:r>
      <w:r>
        <w:rPr>
          <w:rFonts w:ascii="Verdana" w:hAnsi="Verdana"/>
        </w:rPr>
        <w:t>和</w:t>
      </w:r>
      <w:r>
        <w:rPr>
          <w:rFonts w:ascii="Verdana" w:hAnsi="Verdana"/>
        </w:rPr>
        <w:t>“</w:t>
      </w:r>
      <w:r>
        <w:rPr>
          <w:rFonts w:ascii="Verdana" w:hAnsi="Verdana"/>
        </w:rPr>
        <w:t>毕业顶岗实习</w:t>
      </w:r>
      <w:r>
        <w:rPr>
          <w:rFonts w:ascii="Verdana" w:hAnsi="Verdana"/>
        </w:rPr>
        <w:t>”</w:t>
      </w:r>
      <w:r>
        <w:rPr>
          <w:rFonts w:ascii="Verdana" w:hAnsi="Verdana"/>
        </w:rPr>
        <w:t>。</w:t>
      </w:r>
      <w:r>
        <w:rPr>
          <w:rFonts w:ascii="Verdana" w:hAnsi="Verdana"/>
        </w:rPr>
        <w:br/>
      </w:r>
      <w:r>
        <w:rPr>
          <w:rFonts w:ascii="Verdana" w:hAnsi="Verdana"/>
        </w:rPr>
        <w:t>实践教学过程中，一要强调教学的内容和素材尽可能来自生产一线，创造工程实践环境，让学生直接参与工程实践项目；二要强调学生创新思维、创新能力与工</w:t>
      </w:r>
      <w:r>
        <w:rPr>
          <w:rFonts w:ascii="Verdana" w:hAnsi="Verdana"/>
        </w:rPr>
        <w:lastRenderedPageBreak/>
        <w:t>程实际能力的培养。针对当前人才市场需求，就业方向，企业对毕业生具体能力要求，进行</w:t>
      </w:r>
      <w:r>
        <w:rPr>
          <w:rFonts w:ascii="Verdana" w:hAnsi="Verdana"/>
        </w:rPr>
        <w:t>“</w:t>
      </w:r>
      <w:r>
        <w:rPr>
          <w:rFonts w:ascii="Verdana" w:hAnsi="Verdana"/>
        </w:rPr>
        <w:t>专业工程实践</w:t>
      </w:r>
      <w:r>
        <w:rPr>
          <w:rFonts w:ascii="Verdana" w:hAnsi="Verdana"/>
        </w:rPr>
        <w:t>”</w:t>
      </w:r>
      <w:r>
        <w:rPr>
          <w:rFonts w:ascii="Verdana" w:hAnsi="Verdana"/>
        </w:rPr>
        <w:t>和</w:t>
      </w:r>
      <w:r>
        <w:rPr>
          <w:rFonts w:ascii="Verdana" w:hAnsi="Verdana"/>
        </w:rPr>
        <w:t>“</w:t>
      </w:r>
      <w:r>
        <w:rPr>
          <w:rFonts w:ascii="Verdana" w:hAnsi="Verdana"/>
        </w:rPr>
        <w:t>毕业顶岗实训</w:t>
      </w:r>
      <w:r>
        <w:rPr>
          <w:rFonts w:ascii="Verdana" w:hAnsi="Verdana"/>
        </w:rPr>
        <w:t>”</w:t>
      </w:r>
      <w:r>
        <w:rPr>
          <w:rFonts w:ascii="Verdana" w:hAnsi="Verdana"/>
        </w:rPr>
        <w:t>，同时将部分学习内容分解提前到专业课的</w:t>
      </w:r>
      <w:r>
        <w:rPr>
          <w:rFonts w:ascii="Verdana" w:hAnsi="Verdana"/>
        </w:rPr>
        <w:t>“</w:t>
      </w:r>
      <w:r>
        <w:rPr>
          <w:rFonts w:ascii="Verdana" w:hAnsi="Verdana"/>
        </w:rPr>
        <w:t>课程设计</w:t>
      </w:r>
      <w:r>
        <w:rPr>
          <w:rFonts w:ascii="Verdana" w:hAnsi="Verdana"/>
        </w:rPr>
        <w:t>”</w:t>
      </w:r>
      <w:r>
        <w:rPr>
          <w:rFonts w:ascii="Verdana" w:hAnsi="Verdana"/>
        </w:rPr>
        <w:t>中去，从而取代了传统的</w:t>
      </w:r>
      <w:r>
        <w:rPr>
          <w:rFonts w:ascii="Verdana" w:hAnsi="Verdana"/>
        </w:rPr>
        <w:t>“</w:t>
      </w:r>
      <w:r>
        <w:rPr>
          <w:rFonts w:ascii="Verdana" w:hAnsi="Verdana"/>
        </w:rPr>
        <w:t>毕业设计</w:t>
      </w:r>
      <w:r>
        <w:rPr>
          <w:rFonts w:ascii="Verdana" w:hAnsi="Verdana"/>
        </w:rPr>
        <w:t>”</w:t>
      </w:r>
      <w:r>
        <w:rPr>
          <w:rFonts w:ascii="Verdana" w:hAnsi="Verdana"/>
        </w:rPr>
        <w:t>。</w:t>
      </w:r>
      <w:r>
        <w:rPr>
          <w:rFonts w:ascii="Verdana" w:hAnsi="Verdana"/>
        </w:rPr>
        <w:br/>
        <w:t>3</w:t>
      </w:r>
      <w:r>
        <w:rPr>
          <w:rFonts w:ascii="Verdana" w:hAnsi="Verdana"/>
        </w:rPr>
        <w:t>、考核评价方法的改革与实施</w:t>
      </w:r>
      <w:r>
        <w:rPr>
          <w:rFonts w:ascii="Verdana" w:hAnsi="Verdana"/>
        </w:rPr>
        <w:br/>
        <w:t>1</w:t>
      </w:r>
      <w:r>
        <w:rPr>
          <w:rFonts w:ascii="Verdana" w:hAnsi="Verdana"/>
        </w:rPr>
        <w:t>）、理论教学的考核：建立以综合测试、答辩、口试与笔试等方式相结合的新型考试模式，减少传统闭卷考试的比重，使考试更具有针对性，实用性，更加符合改革后的中职教学新要求。逐步建立</w:t>
      </w:r>
      <w:r>
        <w:rPr>
          <w:rFonts w:ascii="Verdana" w:hAnsi="Verdana"/>
        </w:rPr>
        <w:t>“</w:t>
      </w:r>
      <w:r>
        <w:rPr>
          <w:rFonts w:ascii="Verdana" w:hAnsi="Verdana"/>
        </w:rPr>
        <w:t>免修</w:t>
      </w:r>
      <w:r>
        <w:rPr>
          <w:rFonts w:ascii="Verdana" w:hAnsi="Verdana"/>
        </w:rPr>
        <w:t>”</w:t>
      </w:r>
      <w:r>
        <w:rPr>
          <w:rFonts w:ascii="Verdana" w:hAnsi="Verdana"/>
        </w:rPr>
        <w:t>制度，编制主干课程</w:t>
      </w:r>
      <w:r>
        <w:rPr>
          <w:rFonts w:ascii="Verdana" w:hAnsi="Verdana"/>
        </w:rPr>
        <w:t>“</w:t>
      </w:r>
      <w:r>
        <w:rPr>
          <w:rFonts w:ascii="Verdana" w:hAnsi="Verdana"/>
        </w:rPr>
        <w:t>考试大纲</w:t>
      </w:r>
      <w:r>
        <w:rPr>
          <w:rFonts w:ascii="Verdana" w:hAnsi="Verdana"/>
        </w:rPr>
        <w:t>”</w:t>
      </w:r>
      <w:r>
        <w:rPr>
          <w:rFonts w:ascii="Verdana" w:hAnsi="Verdana"/>
        </w:rPr>
        <w:t>，学生可根据</w:t>
      </w:r>
      <w:r>
        <w:rPr>
          <w:rFonts w:ascii="Verdana" w:hAnsi="Verdana"/>
        </w:rPr>
        <w:t>“</w:t>
      </w:r>
      <w:r>
        <w:rPr>
          <w:rFonts w:ascii="Verdana" w:hAnsi="Verdana"/>
        </w:rPr>
        <w:t>考试大纲</w:t>
      </w:r>
      <w:r>
        <w:rPr>
          <w:rFonts w:ascii="Verdana" w:hAnsi="Verdana"/>
        </w:rPr>
        <w:t>”</w:t>
      </w:r>
      <w:r>
        <w:rPr>
          <w:rFonts w:ascii="Verdana" w:hAnsi="Verdana"/>
        </w:rPr>
        <w:t>的要求，选择适合自己条件的学习方式，通过考试即可获得免修，从而充分调动学生的学习兴趣，真正达到</w:t>
      </w:r>
      <w:r>
        <w:rPr>
          <w:rFonts w:ascii="Verdana" w:hAnsi="Verdana"/>
        </w:rPr>
        <w:t>“</w:t>
      </w:r>
      <w:r>
        <w:rPr>
          <w:rFonts w:ascii="Verdana" w:hAnsi="Verdana"/>
        </w:rPr>
        <w:t>以考助学</w:t>
      </w:r>
      <w:r>
        <w:rPr>
          <w:rFonts w:ascii="Verdana" w:hAnsi="Verdana"/>
        </w:rPr>
        <w:t>”</w:t>
      </w:r>
      <w:r>
        <w:rPr>
          <w:rFonts w:ascii="Verdana" w:hAnsi="Verdana"/>
        </w:rPr>
        <w:t>的目的。同时又能满足不同层次生源学生的学习要求，使一些学有余力的学生有更多的时间选修相关的课程或参与学院和系里的学产研工程实践。</w:t>
      </w:r>
      <w:r>
        <w:rPr>
          <w:rFonts w:ascii="Verdana" w:hAnsi="Verdana"/>
        </w:rPr>
        <w:br/>
        <w:t>2</w:t>
      </w:r>
      <w:r>
        <w:rPr>
          <w:rFonts w:ascii="Verdana" w:hAnsi="Verdana"/>
        </w:rPr>
        <w:t>）、实践教学的考核：</w:t>
      </w:r>
      <w:r>
        <w:rPr>
          <w:rFonts w:ascii="Verdana" w:hAnsi="Verdana"/>
        </w:rPr>
        <w:br/>
      </w:r>
      <w:r>
        <w:rPr>
          <w:rFonts w:ascii="Verdana" w:hAnsi="Verdana"/>
        </w:rPr>
        <w:t>分为操作技能考核与项目设计、项目制作评判式考核两种。操作技能考核：要求学生通过本院自行设定的各种技能考核项目。或者通过有关部门的</w:t>
      </w:r>
      <w:r>
        <w:rPr>
          <w:rFonts w:ascii="Verdana" w:hAnsi="Verdana"/>
        </w:rPr>
        <w:t>“</w:t>
      </w:r>
      <w:r>
        <w:rPr>
          <w:rFonts w:ascii="Verdana" w:hAnsi="Verdana"/>
        </w:rPr>
        <w:t>专业技术等级证书</w:t>
      </w:r>
      <w:r>
        <w:rPr>
          <w:rFonts w:ascii="Verdana" w:hAnsi="Verdana"/>
        </w:rPr>
        <w:t>”</w:t>
      </w:r>
      <w:r>
        <w:rPr>
          <w:rFonts w:ascii="Verdana" w:hAnsi="Verdana"/>
        </w:rPr>
        <w:t>考核。</w:t>
      </w:r>
    </w:p>
    <w:p w:rsidR="00074DA9" w:rsidRDefault="00074DA9" w:rsidP="00074DA9">
      <w:pPr>
        <w:pStyle w:val="a3"/>
        <w:spacing w:line="450" w:lineRule="atLeast"/>
        <w:ind w:firstLine="480"/>
      </w:pPr>
      <w:r>
        <w:rPr>
          <w:rFonts w:ascii="Verdana" w:hAnsi="Verdana"/>
        </w:rPr>
        <w:t>（二）、坚持学、产、研相结合的办学指导思想，紧密联系生产企业，建好校外实训基地。</w:t>
      </w:r>
      <w:r>
        <w:rPr>
          <w:rFonts w:ascii="Verdana" w:hAnsi="Verdana"/>
        </w:rPr>
        <w:br/>
      </w:r>
      <w:r>
        <w:rPr>
          <w:rFonts w:ascii="Verdana" w:hAnsi="Verdana" w:hint="eastAsia"/>
        </w:rPr>
        <w:t xml:space="preserve">    </w:t>
      </w:r>
      <w:r>
        <w:rPr>
          <w:rFonts w:ascii="Verdana" w:hAnsi="Verdana"/>
        </w:rPr>
        <w:t>走校企合作、学产研结合的人才培养之路，形成学产研结合的有效培养机制。让学生参与教师承接的对外合作项目或技术开发、技术服务工作，如：课题开发、外协加工、数控化改造、技术培训等。建立校内校外互补的数控技术实训基地，定期安排学生到企业跟班进行数控加工生产实习，为本专业学生提供完备、稳定的实训场所和生产一线的实践课题。</w:t>
      </w:r>
      <w:r>
        <w:rPr>
          <w:rFonts w:ascii="Verdana" w:hAnsi="Verdana"/>
        </w:rPr>
        <w:br/>
      </w:r>
      <w:r>
        <w:rPr>
          <w:rFonts w:ascii="Verdana" w:hAnsi="Verdana"/>
        </w:rPr>
        <w:t>（三）、完善校内实践教学基地建设，真正体现中职特色。</w:t>
      </w:r>
      <w:r>
        <w:rPr>
          <w:rFonts w:ascii="Verdana" w:hAnsi="Verdana"/>
        </w:rPr>
        <w:br/>
      </w:r>
      <w:r>
        <w:rPr>
          <w:rFonts w:ascii="Verdana" w:hAnsi="Verdana"/>
        </w:rPr>
        <w:t>实验室、实训室是培养学生能力的重要和不可缺少的场所，对于职业技术教育尤其如此。学院的实验、实训投资已达一千多万元，与数控加工技术相关的实验、实训室有十几个。为了适应数控加工技术专业教学改革的需要，计划对现有的校内实验、实训室进行完善配套，增加组数，同时再新建几个与数控加工技术专业有关的实训室，使学产研一体化，提高本专业学生的职业技能。具体实施计划见下表。</w:t>
      </w:r>
      <w:r>
        <w:rPr>
          <w:rFonts w:ascii="Verdana" w:hAnsi="Verdana"/>
        </w:rPr>
        <w:br/>
      </w:r>
      <w:r>
        <w:rPr>
          <w:rFonts w:ascii="Verdana" w:hAnsi="Verdana"/>
        </w:rPr>
        <w:t>（四）、教材建设</w:t>
      </w:r>
      <w:r>
        <w:rPr>
          <w:rFonts w:ascii="Verdana" w:hAnsi="Verdana"/>
        </w:rPr>
        <w:br/>
      </w:r>
      <w:r>
        <w:rPr>
          <w:rFonts w:ascii="Verdana" w:hAnsi="Verdana"/>
        </w:rPr>
        <w:lastRenderedPageBreak/>
        <w:t>1</w:t>
      </w:r>
      <w:r>
        <w:rPr>
          <w:rFonts w:ascii="Verdana" w:hAnsi="Verdana"/>
        </w:rPr>
        <w:t>、教材建设目标</w:t>
      </w:r>
      <w:r>
        <w:rPr>
          <w:rFonts w:ascii="Verdana" w:hAnsi="Verdana"/>
        </w:rPr>
        <w:br/>
      </w:r>
      <w:r>
        <w:rPr>
          <w:rFonts w:ascii="Verdana" w:hAnsi="Verdana"/>
        </w:rPr>
        <w:t>目前本专业的理论课规划教材较多，但适合中职特色的实践性教材少。目前尽可能选用教育部规划教材，或与其它大专院校、职业技术学院协作共同开发教材，积极组织我院本专业教师自编讲义及各种实训教材，力争两年之内基本完成本专业中职教材的建设。</w:t>
      </w:r>
      <w:r>
        <w:rPr>
          <w:rFonts w:ascii="Verdana" w:hAnsi="Verdana"/>
        </w:rPr>
        <w:br/>
        <w:t>2</w:t>
      </w:r>
      <w:r>
        <w:rPr>
          <w:rFonts w:ascii="Verdana" w:hAnsi="Verdana"/>
        </w:rPr>
        <w:t>、教材建设的思路</w:t>
      </w:r>
      <w:r>
        <w:rPr>
          <w:rFonts w:ascii="Verdana" w:hAnsi="Verdana"/>
        </w:rPr>
        <w:br/>
      </w:r>
      <w:r>
        <w:rPr>
          <w:rFonts w:ascii="Verdana" w:hAnsi="Verdana"/>
        </w:rPr>
        <w:t>先解决与教改相适应的教材，再解决教材优化问题。积极参与部规划数控专业的系列教材的编写工作，同时组织教师自己编写教材，特别是有学院特色的一些实训教材，同时还要制作多媒体教材、课件，使教材体系优化，形成系列，形成特色。</w:t>
      </w:r>
    </w:p>
    <w:p w:rsidR="00074DA9" w:rsidRDefault="00074DA9" w:rsidP="00074DA9">
      <w:pPr>
        <w:pStyle w:val="a3"/>
        <w:spacing w:line="450" w:lineRule="atLeast"/>
        <w:ind w:firstLine="480"/>
      </w:pPr>
      <w:r>
        <w:rPr>
          <w:rFonts w:ascii="Verdana" w:hAnsi="Verdana"/>
        </w:rPr>
        <w:t>（五）、师资队伍建设</w:t>
      </w:r>
      <w:r>
        <w:rPr>
          <w:rFonts w:ascii="Verdana" w:hAnsi="Verdana"/>
        </w:rPr>
        <w:br/>
        <w:t>1</w:t>
      </w:r>
      <w:r>
        <w:rPr>
          <w:rFonts w:ascii="Verdana" w:hAnsi="Verdana"/>
        </w:rPr>
        <w:t>、</w:t>
      </w:r>
      <w:r>
        <w:rPr>
          <w:rFonts w:ascii="Verdana" w:hAnsi="Verdana"/>
        </w:rPr>
        <w:t xml:space="preserve"> </w:t>
      </w:r>
      <w:r>
        <w:rPr>
          <w:rFonts w:ascii="Verdana" w:hAnsi="Verdana"/>
        </w:rPr>
        <w:t>师资队伍建设目标</w:t>
      </w:r>
      <w:r>
        <w:rPr>
          <w:rFonts w:ascii="Verdana" w:hAnsi="Verdana"/>
        </w:rPr>
        <w:br/>
      </w:r>
      <w:r>
        <w:rPr>
          <w:rFonts w:ascii="Verdana" w:hAnsi="Verdana"/>
        </w:rPr>
        <w:t>按照学院制定的</w:t>
      </w:r>
      <w:r>
        <w:rPr>
          <w:rFonts w:ascii="Verdana" w:hAnsi="Verdana"/>
        </w:rPr>
        <w:t>“</w:t>
      </w:r>
      <w:r>
        <w:rPr>
          <w:rFonts w:ascii="Verdana" w:hAnsi="Verdana"/>
        </w:rPr>
        <w:t>加强师资队伍建设若干规定与措施</w:t>
      </w:r>
      <w:r>
        <w:rPr>
          <w:rFonts w:ascii="Verdana" w:hAnsi="Verdana"/>
        </w:rPr>
        <w:t>”</w:t>
      </w:r>
      <w:r>
        <w:rPr>
          <w:rFonts w:ascii="Verdana" w:hAnsi="Verdana"/>
        </w:rPr>
        <w:t>的文件精神，根据本专业对教师队伍的迫切要求，制定本专业师资队伍建设目标为：</w:t>
      </w:r>
      <w:r>
        <w:rPr>
          <w:rFonts w:ascii="Verdana" w:hAnsi="Verdana"/>
        </w:rPr>
        <w:t>3~5</w:t>
      </w:r>
      <w:r>
        <w:rPr>
          <w:rFonts w:ascii="Verdana" w:hAnsi="Verdana"/>
        </w:rPr>
        <w:t>年内，建设一支具有较高理论水平、较强实践能力、热爱本专业教学工作的师资队伍，</w:t>
      </w:r>
      <w:r>
        <w:rPr>
          <w:rFonts w:ascii="Verdana" w:hAnsi="Verdana"/>
        </w:rPr>
        <w:t xml:space="preserve"> “</w:t>
      </w:r>
      <w:r>
        <w:rPr>
          <w:rFonts w:ascii="Verdana" w:hAnsi="Verdana"/>
        </w:rPr>
        <w:t>双师型</w:t>
      </w:r>
      <w:r>
        <w:rPr>
          <w:rFonts w:ascii="Verdana" w:hAnsi="Verdana"/>
        </w:rPr>
        <w:t>”</w:t>
      </w:r>
      <w:r>
        <w:rPr>
          <w:rFonts w:ascii="Verdana" w:hAnsi="Verdana"/>
        </w:rPr>
        <w:t>专业教师达</w:t>
      </w:r>
      <w:r>
        <w:rPr>
          <w:rFonts w:ascii="Verdana" w:hAnsi="Verdana"/>
        </w:rPr>
        <w:t>90%</w:t>
      </w:r>
      <w:r>
        <w:rPr>
          <w:rFonts w:ascii="Verdana" w:hAnsi="Verdana"/>
        </w:rPr>
        <w:t>以上，同时适当聘请高校、企业和科研院所的教授、专家来校做兼职（客座）教授，实行专兼结合，学产研结合。</w:t>
      </w:r>
      <w:r>
        <w:rPr>
          <w:rFonts w:ascii="Verdana" w:hAnsi="Verdana"/>
        </w:rPr>
        <w:br/>
        <w:t>2</w:t>
      </w:r>
      <w:r>
        <w:rPr>
          <w:rFonts w:ascii="Verdana" w:hAnsi="Verdana"/>
        </w:rPr>
        <w:t>、师资队伍建设规划</w:t>
      </w:r>
      <w:r>
        <w:rPr>
          <w:rFonts w:ascii="Verdana" w:hAnsi="Verdana"/>
        </w:rPr>
        <w:br/>
      </w:r>
      <w:r>
        <w:rPr>
          <w:rFonts w:ascii="Verdana" w:hAnsi="Verdana"/>
        </w:rPr>
        <w:t>三年内本专业教师争取达到</w:t>
      </w:r>
      <w:r>
        <w:rPr>
          <w:rFonts w:ascii="Verdana" w:hAnsi="Verdana"/>
        </w:rPr>
        <w:t>30</w:t>
      </w:r>
      <w:r>
        <w:rPr>
          <w:rFonts w:ascii="Verdana" w:hAnsi="Verdana"/>
        </w:rPr>
        <w:t>人，专业教师能够胜任所有专业理论课教学，</w:t>
      </w:r>
      <w:r>
        <w:rPr>
          <w:rFonts w:ascii="Verdana" w:hAnsi="Verdana"/>
        </w:rPr>
        <w:t>90%</w:t>
      </w:r>
      <w:r>
        <w:rPr>
          <w:rFonts w:ascii="Verdana" w:hAnsi="Verdana"/>
        </w:rPr>
        <w:t>的专业教师具备</w:t>
      </w:r>
      <w:r>
        <w:rPr>
          <w:rFonts w:ascii="Verdana" w:hAnsi="Verdana"/>
        </w:rPr>
        <w:t>“</w:t>
      </w:r>
      <w:r>
        <w:rPr>
          <w:rFonts w:ascii="Verdana" w:hAnsi="Verdana"/>
        </w:rPr>
        <w:t>双师型</w:t>
      </w:r>
      <w:r>
        <w:rPr>
          <w:rFonts w:ascii="Verdana" w:hAnsi="Verdana"/>
        </w:rPr>
        <w:t>”</w:t>
      </w:r>
      <w:r>
        <w:rPr>
          <w:rFonts w:ascii="Verdana" w:hAnsi="Verdana"/>
        </w:rPr>
        <w:t>素质，能够指导实践教学。每位教师平均每年发表</w:t>
      </w:r>
      <w:r>
        <w:rPr>
          <w:rFonts w:ascii="Verdana" w:hAnsi="Verdana"/>
        </w:rPr>
        <w:t>1</w:t>
      </w:r>
      <w:r>
        <w:rPr>
          <w:rFonts w:ascii="Verdana" w:hAnsi="Verdana"/>
        </w:rPr>
        <w:t>篇学术论文或编写教材，每</w:t>
      </w:r>
      <w:r>
        <w:rPr>
          <w:rFonts w:ascii="Verdana" w:hAnsi="Verdana"/>
        </w:rPr>
        <w:t>1</w:t>
      </w:r>
      <w:r>
        <w:rPr>
          <w:rFonts w:ascii="Verdana" w:hAnsi="Verdana"/>
        </w:rPr>
        <w:t>年参加一项教研、科研或技术服务项目。</w:t>
      </w:r>
      <w:r>
        <w:rPr>
          <w:rFonts w:ascii="Verdana" w:hAnsi="Verdana"/>
        </w:rPr>
        <w:br/>
        <w:t>3</w:t>
      </w:r>
      <w:r>
        <w:rPr>
          <w:rFonts w:ascii="Verdana" w:hAnsi="Verdana"/>
        </w:rPr>
        <w:t>、师资队伍建设措施</w:t>
      </w:r>
      <w:r>
        <w:rPr>
          <w:rFonts w:ascii="Verdana" w:hAnsi="Verdana"/>
        </w:rPr>
        <w:br/>
      </w:r>
      <w:r>
        <w:rPr>
          <w:rFonts w:ascii="Verdana" w:hAnsi="Verdana"/>
        </w:rPr>
        <w:t>（</w:t>
      </w:r>
      <w:r>
        <w:rPr>
          <w:rFonts w:ascii="Verdana" w:hAnsi="Verdana"/>
        </w:rPr>
        <w:t>1</w:t>
      </w:r>
      <w:r>
        <w:rPr>
          <w:rFonts w:ascii="Verdana" w:hAnsi="Verdana"/>
        </w:rPr>
        <w:t>）加强现有教师的进修培养。鼓励教师攻读在职研究生，要求</w:t>
      </w:r>
      <w:r>
        <w:rPr>
          <w:rFonts w:ascii="Verdana" w:hAnsi="Verdana"/>
        </w:rPr>
        <w:t>35</w:t>
      </w:r>
      <w:r>
        <w:rPr>
          <w:rFonts w:ascii="Verdana" w:hAnsi="Verdana"/>
        </w:rPr>
        <w:t>岁以下教师在近</w:t>
      </w:r>
      <w:r>
        <w:rPr>
          <w:rFonts w:ascii="Verdana" w:hAnsi="Verdana"/>
        </w:rPr>
        <w:t>3~5</w:t>
      </w:r>
      <w:r>
        <w:rPr>
          <w:rFonts w:ascii="Verdana" w:hAnsi="Verdana"/>
        </w:rPr>
        <w:t>年内获得硕士以上学位。积极创造条件派遣教师参加本专业的各种培训学习，每位教师应制定个人学习计划，定期考核与检查。</w:t>
      </w:r>
      <w:r>
        <w:rPr>
          <w:rFonts w:ascii="Verdana" w:hAnsi="Verdana"/>
        </w:rPr>
        <w:br/>
      </w:r>
      <w:r>
        <w:rPr>
          <w:rFonts w:ascii="Verdana" w:hAnsi="Verdana"/>
        </w:rPr>
        <w:t>（</w:t>
      </w:r>
      <w:r>
        <w:rPr>
          <w:rFonts w:ascii="Verdana" w:hAnsi="Verdana"/>
        </w:rPr>
        <w:t>2</w:t>
      </w:r>
      <w:r>
        <w:rPr>
          <w:rFonts w:ascii="Verdana" w:hAnsi="Verdana"/>
        </w:rPr>
        <w:t>）加强骨干教师培养，选送</w:t>
      </w:r>
      <w:r>
        <w:rPr>
          <w:rFonts w:ascii="Verdana" w:hAnsi="Verdana"/>
        </w:rPr>
        <w:t>2~4</w:t>
      </w:r>
      <w:r>
        <w:rPr>
          <w:rFonts w:ascii="Verdana" w:hAnsi="Verdana"/>
        </w:rPr>
        <w:t>名教师列入省青年骨干教师培训计划，并选派骨干教师到国内外交流与学习。</w:t>
      </w:r>
      <w:r>
        <w:rPr>
          <w:rFonts w:ascii="Verdana" w:hAnsi="Verdana"/>
        </w:rPr>
        <w:br/>
      </w:r>
      <w:r>
        <w:rPr>
          <w:rFonts w:ascii="Verdana" w:hAnsi="Verdana"/>
        </w:rPr>
        <w:t>（</w:t>
      </w:r>
      <w:r>
        <w:rPr>
          <w:rFonts w:ascii="Verdana" w:hAnsi="Verdana"/>
        </w:rPr>
        <w:t>3</w:t>
      </w:r>
      <w:r>
        <w:rPr>
          <w:rFonts w:ascii="Verdana" w:hAnsi="Verdana"/>
        </w:rPr>
        <w:t>）委派教师到企业现场指导实习、指导学生生产实践。并参与企业的技术改造、产品开发，努力搞好学产研结合，为企业提供技术服务，培养教师的实践能力，提高教师实践教学水平。</w:t>
      </w:r>
      <w:r>
        <w:rPr>
          <w:rFonts w:ascii="Verdana" w:hAnsi="Verdana"/>
        </w:rPr>
        <w:br/>
      </w:r>
      <w:r>
        <w:rPr>
          <w:rFonts w:ascii="Verdana" w:hAnsi="Verdana"/>
        </w:rPr>
        <w:lastRenderedPageBreak/>
        <w:t>（</w:t>
      </w:r>
      <w:r>
        <w:rPr>
          <w:rFonts w:ascii="Verdana" w:hAnsi="Verdana"/>
        </w:rPr>
        <w:t>4</w:t>
      </w:r>
      <w:r>
        <w:rPr>
          <w:rFonts w:ascii="Verdana" w:hAnsi="Verdana"/>
        </w:rPr>
        <w:t>）引进高学历人才，在近年内引进博士</w:t>
      </w:r>
      <w:r>
        <w:rPr>
          <w:rFonts w:ascii="Verdana" w:hAnsi="Verdana"/>
        </w:rPr>
        <w:t>1~2</w:t>
      </w:r>
      <w:r>
        <w:rPr>
          <w:rFonts w:ascii="Verdana" w:hAnsi="Verdana"/>
        </w:rPr>
        <w:t>人，硕士</w:t>
      </w:r>
      <w:r>
        <w:rPr>
          <w:rFonts w:ascii="Verdana" w:hAnsi="Verdana"/>
        </w:rPr>
        <w:t>5~8</w:t>
      </w:r>
      <w:r>
        <w:rPr>
          <w:rFonts w:ascii="Verdana" w:hAnsi="Verdana"/>
        </w:rPr>
        <w:t>人。</w:t>
      </w:r>
      <w:r>
        <w:rPr>
          <w:rFonts w:ascii="Verdana" w:hAnsi="Verdana"/>
        </w:rPr>
        <w:br/>
      </w:r>
      <w:r>
        <w:rPr>
          <w:rFonts w:ascii="Verdana" w:hAnsi="Verdana"/>
        </w:rPr>
        <w:t>（</w:t>
      </w:r>
      <w:r>
        <w:rPr>
          <w:rFonts w:ascii="Verdana" w:hAnsi="Verdana"/>
        </w:rPr>
        <w:t>5</w:t>
      </w:r>
      <w:r>
        <w:rPr>
          <w:rFonts w:ascii="Verdana" w:hAnsi="Verdana"/>
        </w:rPr>
        <w:t>）从企业引进有丰富实践经验的高级工程技术人员作为专业教师，并组织学习教育学、心理学和教学法，使他们尽快掌握教学规律，提高教学水平。</w:t>
      </w:r>
      <w:r>
        <w:rPr>
          <w:rFonts w:ascii="Verdana" w:hAnsi="Verdana"/>
        </w:rPr>
        <w:br/>
      </w:r>
      <w:r>
        <w:rPr>
          <w:rFonts w:ascii="Verdana" w:hAnsi="Verdana"/>
        </w:rPr>
        <w:t>（</w:t>
      </w:r>
      <w:r>
        <w:rPr>
          <w:rFonts w:ascii="Verdana" w:hAnsi="Verdana"/>
        </w:rPr>
        <w:t>6</w:t>
      </w:r>
      <w:r>
        <w:rPr>
          <w:rFonts w:ascii="Verdana" w:hAnsi="Verdana"/>
        </w:rPr>
        <w:t>）聘请</w:t>
      </w:r>
      <w:r>
        <w:rPr>
          <w:rFonts w:ascii="Verdana" w:hAnsi="Verdana"/>
        </w:rPr>
        <w:t>2~4</w:t>
      </w:r>
      <w:r>
        <w:rPr>
          <w:rFonts w:ascii="Verdana" w:hAnsi="Verdana"/>
        </w:rPr>
        <w:t>名高校、企业和科研院所的教授、高级工程师来校做兼职（客座）教授，专兼结合。</w:t>
      </w:r>
      <w:r>
        <w:rPr>
          <w:rFonts w:ascii="Verdana" w:hAnsi="Verdana"/>
        </w:rPr>
        <w:t xml:space="preserve"> </w:t>
      </w:r>
    </w:p>
    <w:p w:rsidR="008C0011" w:rsidRPr="00074DA9" w:rsidRDefault="008C0011"/>
    <w:sectPr w:rsidR="008C0011" w:rsidRPr="00074DA9" w:rsidSect="002576E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B2F" w:rsidRDefault="00DE2B2F" w:rsidP="00F96F17">
      <w:r>
        <w:separator/>
      </w:r>
    </w:p>
  </w:endnote>
  <w:endnote w:type="continuationSeparator" w:id="1">
    <w:p w:rsidR="00DE2B2F" w:rsidRDefault="00DE2B2F" w:rsidP="00F96F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537921"/>
      <w:docPartObj>
        <w:docPartGallery w:val="Page Numbers (Bottom of Page)"/>
        <w:docPartUnique/>
      </w:docPartObj>
    </w:sdtPr>
    <w:sdtContent>
      <w:p w:rsidR="00F96F17" w:rsidRDefault="006D6950">
        <w:pPr>
          <w:pStyle w:val="a5"/>
          <w:jc w:val="center"/>
        </w:pPr>
        <w:r>
          <w:fldChar w:fldCharType="begin"/>
        </w:r>
        <w:r w:rsidR="00F96F17">
          <w:instrText>PAGE   \* MERGEFORMAT</w:instrText>
        </w:r>
        <w:r>
          <w:fldChar w:fldCharType="separate"/>
        </w:r>
        <w:r w:rsidR="00B97E15" w:rsidRPr="00B97E15">
          <w:rPr>
            <w:noProof/>
            <w:lang w:val="zh-CN"/>
          </w:rPr>
          <w:t>1</w:t>
        </w:r>
        <w:r>
          <w:fldChar w:fldCharType="end"/>
        </w:r>
      </w:p>
    </w:sdtContent>
  </w:sdt>
  <w:p w:rsidR="00F96F17" w:rsidRDefault="00F96F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B2F" w:rsidRDefault="00DE2B2F" w:rsidP="00F96F17">
      <w:r>
        <w:separator/>
      </w:r>
    </w:p>
  </w:footnote>
  <w:footnote w:type="continuationSeparator" w:id="1">
    <w:p w:rsidR="00DE2B2F" w:rsidRDefault="00DE2B2F" w:rsidP="00F96F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4DA9"/>
    <w:rsid w:val="00074DA9"/>
    <w:rsid w:val="001C7692"/>
    <w:rsid w:val="002576E1"/>
    <w:rsid w:val="003B4B28"/>
    <w:rsid w:val="006D6950"/>
    <w:rsid w:val="00775F58"/>
    <w:rsid w:val="008C0011"/>
    <w:rsid w:val="00B97E15"/>
    <w:rsid w:val="00DE2B2F"/>
    <w:rsid w:val="00F96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DA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F96F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6F17"/>
    <w:rPr>
      <w:sz w:val="18"/>
      <w:szCs w:val="18"/>
    </w:rPr>
  </w:style>
  <w:style w:type="paragraph" w:styleId="a5">
    <w:name w:val="footer"/>
    <w:basedOn w:val="a"/>
    <w:link w:val="Char0"/>
    <w:uiPriority w:val="99"/>
    <w:unhideWhenUsed/>
    <w:rsid w:val="00F96F17"/>
    <w:pPr>
      <w:tabs>
        <w:tab w:val="center" w:pos="4153"/>
        <w:tab w:val="right" w:pos="8306"/>
      </w:tabs>
      <w:snapToGrid w:val="0"/>
      <w:jc w:val="left"/>
    </w:pPr>
    <w:rPr>
      <w:sz w:val="18"/>
      <w:szCs w:val="18"/>
    </w:rPr>
  </w:style>
  <w:style w:type="character" w:customStyle="1" w:styleId="Char0">
    <w:name w:val="页脚 Char"/>
    <w:basedOn w:val="a0"/>
    <w:link w:val="a5"/>
    <w:uiPriority w:val="99"/>
    <w:rsid w:val="00F96F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DA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F96F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6F17"/>
    <w:rPr>
      <w:sz w:val="18"/>
      <w:szCs w:val="18"/>
    </w:rPr>
  </w:style>
  <w:style w:type="paragraph" w:styleId="a5">
    <w:name w:val="footer"/>
    <w:basedOn w:val="a"/>
    <w:link w:val="Char0"/>
    <w:uiPriority w:val="99"/>
    <w:unhideWhenUsed/>
    <w:rsid w:val="00F96F17"/>
    <w:pPr>
      <w:tabs>
        <w:tab w:val="center" w:pos="4153"/>
        <w:tab w:val="right" w:pos="8306"/>
      </w:tabs>
      <w:snapToGrid w:val="0"/>
      <w:jc w:val="left"/>
    </w:pPr>
    <w:rPr>
      <w:sz w:val="18"/>
      <w:szCs w:val="18"/>
    </w:rPr>
  </w:style>
  <w:style w:type="character" w:customStyle="1" w:styleId="Char0">
    <w:name w:val="页脚 Char"/>
    <w:basedOn w:val="a0"/>
    <w:link w:val="a5"/>
    <w:uiPriority w:val="99"/>
    <w:rsid w:val="00F96F1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royi2013</dc:creator>
  <cp:lastModifiedBy>Windows User</cp:lastModifiedBy>
  <cp:revision>4</cp:revision>
  <dcterms:created xsi:type="dcterms:W3CDTF">2014-04-04T01:58:00Z</dcterms:created>
  <dcterms:modified xsi:type="dcterms:W3CDTF">2014-12-19T00:49:00Z</dcterms:modified>
</cp:coreProperties>
</file>